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A9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</w:t>
      </w:r>
    </w:p>
    <w:p w:rsidR="00C84A9A">
      <w:pPr>
        <w:pStyle w:val="Head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5-330-1701/2025</w:t>
      </w:r>
    </w:p>
    <w:p w:rsidR="00C84A9A">
      <w:pPr>
        <w:pStyle w:val="Head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УИД86MS0017-01-2025-001227-84      </w:t>
      </w:r>
    </w:p>
    <w:p w:rsidR="00C84A9A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</w:p>
    <w:p w:rsidR="00C84A9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84A9A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C84A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84A9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  23 апреля 2025 года</w:t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</w:p>
    <w:p w:rsidR="00C84A9A">
      <w:pPr>
        <w:pStyle w:val="BodyTextIndent2"/>
      </w:pPr>
      <w:r>
        <w:t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(628481 Ханты- Мансийский автономный округ – Югра г. Когалым ул. Мира д.24),</w:t>
      </w:r>
    </w:p>
    <w:p w:rsidR="00C84A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рассмотрев дело об административном правонарушении в отношении Алиева </w:t>
      </w:r>
      <w:r>
        <w:rPr>
          <w:rFonts w:ascii="Times New Roman" w:hAnsi="Times New Roman" w:cs="Times New Roman"/>
          <w:bCs/>
          <w:sz w:val="27"/>
          <w:szCs w:val="27"/>
        </w:rPr>
        <w:t>Рамина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Арастун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Оглы</w:t>
      </w:r>
      <w:r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842008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>, привлекаемого к административной ответственности по ч. 2 ст.12.2 КоАП РФ,</w:t>
      </w:r>
    </w:p>
    <w:p w:rsidR="00C84A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84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C84A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C84A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13.04.2025 г. в 12 час. 24 мин. в </w:t>
      </w:r>
      <w:r w:rsidR="00842008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>, водитель Алиев Р.А., управлял транспортным средством Урал 44202-3511-80, государственный регистрационный знак В398ЕК186 без переднего государственного регистрационного знака, чем нарушил</w:t>
      </w:r>
      <w:r>
        <w:rPr>
          <w:rFonts w:ascii="Times New Roman" w:hAnsi="Times New Roman" w:cs="Times New Roman"/>
          <w:sz w:val="27"/>
          <w:szCs w:val="27"/>
        </w:rPr>
        <w:t xml:space="preserve"> п. 2 ОП ПДД РФ.</w:t>
      </w:r>
    </w:p>
    <w:p w:rsidR="00C84A9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Алиев Р.А.</w:t>
      </w:r>
      <w:r w:rsidR="001B4037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при рассмотрении дела вину признал и пояснил, что </w:t>
      </w:r>
      <w:r w:rsidR="001B4037">
        <w:rPr>
          <w:rFonts w:ascii="Times New Roman" w:hAnsi="Times New Roman" w:cs="Times New Roman"/>
          <w:bCs/>
          <w:iCs/>
          <w:sz w:val="27"/>
          <w:szCs w:val="27"/>
        </w:rPr>
        <w:t xml:space="preserve">  </w:t>
      </w:r>
      <w:r w:rsidR="001B4037">
        <w:rPr>
          <w:rFonts w:ascii="Times New Roman" w:hAnsi="Times New Roman" w:cs="Times New Roman"/>
          <w:bCs/>
          <w:iCs/>
          <w:sz w:val="27"/>
          <w:szCs w:val="27"/>
        </w:rPr>
        <w:t>на  указанном</w:t>
      </w:r>
      <w:r w:rsidR="001B4037">
        <w:rPr>
          <w:rFonts w:ascii="Times New Roman" w:hAnsi="Times New Roman" w:cs="Times New Roman"/>
          <w:bCs/>
          <w:iCs/>
          <w:sz w:val="27"/>
          <w:szCs w:val="27"/>
        </w:rPr>
        <w:t xml:space="preserve">  участке автодороги  очень  плохая   дорога,  а  государственный регистрационный знак   был прикреплен  на  магнитах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1B4037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Свидетель  </w:t>
      </w:r>
      <w:r w:rsidR="00842008">
        <w:rPr>
          <w:rFonts w:ascii="Times New Roman" w:hAnsi="Times New Roman" w:cs="Times New Roman"/>
          <w:bCs/>
          <w:iCs/>
          <w:sz w:val="27"/>
          <w:szCs w:val="27"/>
        </w:rPr>
        <w:t>Ш.Х.З</w:t>
      </w:r>
      <w:r>
        <w:rPr>
          <w:rFonts w:ascii="Times New Roman" w:hAnsi="Times New Roman" w:cs="Times New Roman"/>
          <w:bCs/>
          <w:iCs/>
          <w:sz w:val="27"/>
          <w:szCs w:val="27"/>
        </w:rPr>
        <w:t>.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iCs/>
          <w:sz w:val="27"/>
          <w:szCs w:val="27"/>
        </w:rPr>
        <w:t>в  судебном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заседании  пояснил,  что  в тот  в дневное  время   проезжал  переезд  и  видел, что  остановили  Алиева Р.А.,  проехав   дальше  он  увидел  государственный регистрационный знак на дороге,  он  подобрал  его  и  отвез  Алиеву Р.А.</w:t>
      </w:r>
    </w:p>
    <w:p w:rsidR="00C8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>
        <w:rPr>
          <w:rFonts w:ascii="Times New Roman" w:hAnsi="Times New Roman" w:cs="Times New Roman"/>
          <w:bCs/>
          <w:sz w:val="27"/>
          <w:szCs w:val="27"/>
        </w:rPr>
        <w:t>Алиева Р.А.</w:t>
      </w:r>
      <w:r>
        <w:rPr>
          <w:rFonts w:ascii="Times New Roman" w:hAnsi="Times New Roman" w:cs="Times New Roman"/>
          <w:sz w:val="27"/>
          <w:szCs w:val="27"/>
        </w:rPr>
        <w:t>,</w:t>
      </w:r>
      <w:r w:rsidR="001B4037">
        <w:rPr>
          <w:rFonts w:ascii="Times New Roman" w:hAnsi="Times New Roman" w:cs="Times New Roman"/>
          <w:sz w:val="27"/>
          <w:szCs w:val="27"/>
        </w:rPr>
        <w:t xml:space="preserve">   свидетеля  </w:t>
      </w:r>
      <w:r w:rsidR="00842008">
        <w:rPr>
          <w:rFonts w:ascii="Times New Roman" w:hAnsi="Times New Roman" w:cs="Times New Roman"/>
          <w:sz w:val="27"/>
          <w:szCs w:val="27"/>
        </w:rPr>
        <w:t>Ш.Х.З</w:t>
      </w:r>
      <w:r w:rsidR="001B4037">
        <w:rPr>
          <w:rFonts w:ascii="Times New Roman" w:hAnsi="Times New Roman" w:cs="Times New Roman"/>
          <w:sz w:val="27"/>
          <w:szCs w:val="27"/>
        </w:rPr>
        <w:t>.,</w:t>
      </w:r>
      <w:r>
        <w:rPr>
          <w:rFonts w:ascii="Times New Roman" w:hAnsi="Times New Roman" w:cs="Times New Roman"/>
          <w:sz w:val="27"/>
          <w:szCs w:val="27"/>
        </w:rPr>
        <w:t xml:space="preserve"> изучив представленные материалы: протокол 86 ХМ 387929 об административном правонарушении от 13.04.2025, в котором изложены обстоятельства совершения </w:t>
      </w:r>
      <w:r>
        <w:rPr>
          <w:rFonts w:ascii="Times New Roman" w:hAnsi="Times New Roman" w:cs="Times New Roman"/>
          <w:bCs/>
          <w:sz w:val="27"/>
          <w:szCs w:val="27"/>
        </w:rPr>
        <w:t>Алиевым Р.А.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 по ч.2 ст.12.2 КоАП РФ, с данным протоколом он ознакомлен, </w:t>
      </w:r>
      <w:r>
        <w:rPr>
          <w:rFonts w:ascii="Times New Roman" w:hAnsi="Times New Roman" w:cs="Times New Roman"/>
          <w:bCs/>
          <w:iCs/>
          <w:sz w:val="27"/>
          <w:szCs w:val="27"/>
        </w:rPr>
        <w:t>ему</w:t>
      </w:r>
      <w:r>
        <w:rPr>
          <w:rFonts w:ascii="Times New Roman" w:hAnsi="Times New Roman" w:cs="Times New Roman"/>
          <w:sz w:val="27"/>
          <w:szCs w:val="27"/>
        </w:rPr>
        <w:t xml:space="preserve"> разъяснены права, предусмотренные ст. 25.1 КоАП РФ и ст.51 Конституции РФ; фотоматериал; копию водительского удостоверения на имя </w:t>
      </w:r>
      <w:r>
        <w:rPr>
          <w:rFonts w:ascii="Times New Roman" w:hAnsi="Times New Roman" w:cs="Times New Roman"/>
          <w:bCs/>
          <w:sz w:val="27"/>
          <w:szCs w:val="27"/>
        </w:rPr>
        <w:t>Алиева Р.А.</w:t>
      </w:r>
      <w:r>
        <w:rPr>
          <w:rFonts w:ascii="Times New Roman" w:hAnsi="Times New Roman" w:cs="Times New Roman"/>
          <w:sz w:val="27"/>
          <w:szCs w:val="27"/>
        </w:rPr>
        <w:t xml:space="preserve">; копию карточки операции с ВУ; копию карточки учета транспортного средства; рапорт ИДПС ОВ ДПС ГИБДД ОМВД России по г. Когалыму от 13.04.2025, который содержит сведения, аналогичные протоколу об административном правонарушении; письменное объяснение Алиева Р.А. от 13.04.2025; информацию административной практики в отношении </w:t>
      </w:r>
      <w:r>
        <w:rPr>
          <w:rFonts w:ascii="Times New Roman" w:hAnsi="Times New Roman" w:cs="Times New Roman"/>
          <w:bCs/>
          <w:sz w:val="27"/>
          <w:szCs w:val="27"/>
        </w:rPr>
        <w:t>Алиева Р.А.</w:t>
      </w:r>
      <w:r>
        <w:rPr>
          <w:rFonts w:ascii="Times New Roman" w:hAnsi="Times New Roman" w:cs="Times New Roman"/>
          <w:sz w:val="27"/>
          <w:szCs w:val="27"/>
        </w:rPr>
        <w:t xml:space="preserve">, и оценив изложенное в совокупности считает, что вина </w:t>
      </w:r>
      <w:r>
        <w:rPr>
          <w:rFonts w:ascii="Times New Roman" w:hAnsi="Times New Roman" w:cs="Times New Roman"/>
          <w:bCs/>
          <w:sz w:val="27"/>
          <w:szCs w:val="27"/>
        </w:rPr>
        <w:t>Алиева Р.А.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</w:t>
      </w:r>
      <w:r>
        <w:rPr>
          <w:rFonts w:ascii="Times New Roman" w:hAnsi="Times New Roman" w:cs="Times New Roman"/>
          <w:sz w:val="27"/>
          <w:szCs w:val="27"/>
        </w:rPr>
        <w:t xml:space="preserve">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п. 2.3.1. Правил дорожного движения Российской Федерации, водитель обязан перед выездом проверить, а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утверждённых постановлением Правительства РФ от 23 октября 1993 года N 1090 (далее - Основные положения).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>
        <w:rPr>
          <w:rFonts w:ascii="Times New Roman" w:hAnsi="Times New Roman" w:cs="Times New Roman"/>
          <w:sz w:val="27"/>
          <w:szCs w:val="27"/>
        </w:rPr>
        <w:t>цветографическими</w:t>
      </w:r>
      <w:r>
        <w:rPr>
          <w:rFonts w:ascii="Times New Roman" w:hAnsi="Times New Roman" w:cs="Times New Roman"/>
          <w:sz w:val="27"/>
          <w:szCs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Являясь участником дорожного движения, </w:t>
      </w:r>
      <w:r>
        <w:rPr>
          <w:rFonts w:ascii="Times New Roman" w:hAnsi="Times New Roman" w:cs="Times New Roman"/>
          <w:bCs/>
          <w:sz w:val="27"/>
          <w:szCs w:val="27"/>
        </w:rPr>
        <w:t>Алиев Р.А.</w:t>
      </w:r>
      <w:r>
        <w:rPr>
          <w:rFonts w:ascii="Times New Roman" w:hAnsi="Times New Roman" w:cs="Times New Roman"/>
          <w:sz w:val="27"/>
          <w:szCs w:val="27"/>
        </w:rPr>
        <w:t xml:space="preserve"> в силу п.1.3 Правил дорожного движения Российской Федерации обязан знать и соблюдать требования названных Правил.</w:t>
      </w:r>
    </w:p>
    <w:p w:rsidR="001B403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Показания   свидетеля  </w:t>
      </w:r>
      <w:r w:rsidR="00842008">
        <w:rPr>
          <w:rFonts w:ascii="Times New Roman" w:hAnsi="Times New Roman" w:cs="Times New Roman"/>
          <w:sz w:val="27"/>
          <w:szCs w:val="27"/>
        </w:rPr>
        <w:t>Ш.Х.З</w:t>
      </w:r>
      <w:r>
        <w:rPr>
          <w:rFonts w:ascii="Times New Roman" w:hAnsi="Times New Roman" w:cs="Times New Roman"/>
          <w:sz w:val="27"/>
          <w:szCs w:val="27"/>
        </w:rPr>
        <w:t xml:space="preserve">. о  том,   что  он  нашел  дорожный знак   и  вернул  его  Алиеву Р.А,  не   опровергают  вину  Алиева Р.А.  </w:t>
      </w:r>
      <w:r>
        <w:rPr>
          <w:rFonts w:ascii="Times New Roman" w:hAnsi="Times New Roman" w:cs="Times New Roman"/>
          <w:sz w:val="27"/>
          <w:szCs w:val="27"/>
        </w:rPr>
        <w:t>в  совершении</w:t>
      </w:r>
      <w:r>
        <w:rPr>
          <w:rFonts w:ascii="Times New Roman" w:hAnsi="Times New Roman" w:cs="Times New Roman"/>
          <w:sz w:val="27"/>
          <w:szCs w:val="27"/>
        </w:rPr>
        <w:t xml:space="preserve"> инкриминируемого  административного правонарушения - управление транспортным средством без государственных регистрационных знаков.   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Смягчающим административную ответственность обстоятельством, предусмотренным ст. 4.2 КоАП РФ, является </w:t>
      </w:r>
      <w:r>
        <w:rPr>
          <w:rFonts w:ascii="Times New Roman" w:hAnsi="Times New Roman" w:cs="Times New Roman"/>
          <w:sz w:val="27"/>
          <w:szCs w:val="27"/>
        </w:rPr>
        <w:t>признание  вины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>
        <w:rPr>
          <w:rFonts w:ascii="Times New Roman" w:hAnsi="Times New Roman" w:cs="Times New Roman"/>
          <w:bCs/>
          <w:iCs/>
          <w:sz w:val="27"/>
          <w:szCs w:val="27"/>
        </w:rPr>
        <w:t>ему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штрафа.</w:t>
      </w:r>
    </w:p>
    <w:p w:rsidR="00C84A9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Руководствуясь ст. ст. 29.10; 29.11 КоАП РФ, мировой судья, </w:t>
      </w:r>
    </w:p>
    <w:p w:rsidR="00C84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84A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C84A9A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84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Алиева </w:t>
      </w:r>
      <w:r>
        <w:rPr>
          <w:rFonts w:ascii="Times New Roman" w:hAnsi="Times New Roman" w:cs="Times New Roman"/>
          <w:bCs/>
          <w:sz w:val="27"/>
          <w:szCs w:val="27"/>
        </w:rPr>
        <w:t>Рамина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Арастун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B4037">
        <w:rPr>
          <w:rFonts w:ascii="Times New Roman" w:hAnsi="Times New Roman" w:cs="Times New Roman"/>
          <w:bCs/>
          <w:sz w:val="27"/>
          <w:szCs w:val="27"/>
        </w:rPr>
        <w:t>о</w:t>
      </w:r>
      <w:r>
        <w:rPr>
          <w:rFonts w:ascii="Times New Roman" w:hAnsi="Times New Roman" w:cs="Times New Roman"/>
          <w:bCs/>
          <w:sz w:val="27"/>
          <w:szCs w:val="27"/>
        </w:rPr>
        <w:t>глы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признать</w:t>
      </w:r>
      <w:r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8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</w:t>
      </w:r>
      <w:r>
        <w:rPr>
          <w:rFonts w:ascii="Times New Roman" w:hAnsi="Times New Roman" w:cs="Times New Roman"/>
          <w:sz w:val="27"/>
          <w:szCs w:val="27"/>
        </w:rPr>
        <w:t>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84A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>
        <w:rPr>
          <w:rFonts w:ascii="Times New Roman" w:hAnsi="Times New Roman" w:cs="Times New Roman"/>
          <w:sz w:val="27"/>
          <w:szCs w:val="27"/>
        </w:rPr>
        <w:t>сч</w:t>
      </w:r>
      <w:r>
        <w:rPr>
          <w:rFonts w:ascii="Times New Roman" w:hAnsi="Times New Roman" w:cs="Times New Roman"/>
          <w:sz w:val="27"/>
          <w:szCs w:val="27"/>
        </w:rPr>
        <w:t>. 40102810245370000007 КБК 18811601123010001140 УИН 18810486250540001693.</w:t>
      </w:r>
    </w:p>
    <w:p w:rsidR="001B4037" w:rsidRPr="001B4037" w:rsidP="001B4037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037">
        <w:rPr>
          <w:rFonts w:ascii="Times New Roman" w:hAnsi="Times New Roman" w:cs="Times New Roman"/>
          <w:sz w:val="27"/>
          <w:szCs w:val="27"/>
        </w:rPr>
        <w:t xml:space="preserve"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 – </w:t>
      </w:r>
      <w:r w:rsidRPr="001B4037">
        <w:rPr>
          <w:rFonts w:ascii="Times New Roman" w:hAnsi="Times New Roman" w:cs="Times New Roman"/>
          <w:sz w:val="27"/>
          <w:szCs w:val="27"/>
        </w:rPr>
        <w:t>Югры,</w:t>
      </w:r>
      <w:r w:rsidRPr="001B4037">
        <w:rPr>
          <w:rFonts w:ascii="Times New Roman" w:hAnsi="Times New Roman" w:cs="Times New Roman"/>
          <w:sz w:val="27"/>
          <w:szCs w:val="27"/>
        </w:rPr>
        <w:t xml:space="preserve">  расположенного</w:t>
      </w:r>
      <w:r w:rsidRPr="001B4037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1B4037">
        <w:rPr>
          <w:rFonts w:ascii="Times New Roman" w:hAnsi="Times New Roman" w:cs="Times New Roman"/>
          <w:sz w:val="27"/>
          <w:szCs w:val="27"/>
        </w:rPr>
        <w:t xml:space="preserve"> </w:t>
      </w:r>
      <w:r w:rsidRPr="001B4037">
        <w:rPr>
          <w:rFonts w:ascii="Times New Roman" w:hAnsi="Times New Roman" w:cs="Times New Roman"/>
          <w:sz w:val="27"/>
          <w:szCs w:val="27"/>
        </w:rPr>
        <w:t>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84A9A" w:rsidP="001B40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403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C84A9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84A9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84A9A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 xml:space="preserve">судья: </w:t>
      </w:r>
      <w:r w:rsidR="00247B1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Е.М. Филяева</w:t>
      </w:r>
    </w:p>
    <w:p w:rsidR="00C84A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84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>
      <w:headerReference w:type="default" r:id="rId5"/>
      <w:headerReference w:type="first" r:id="rId6"/>
      <w:pgSz w:w="11906" w:h="16838"/>
      <w:pgMar w:top="993" w:right="1274" w:bottom="1276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A9A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4A9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6230A"/>
    <w:rsid w:val="00073C4E"/>
    <w:rsid w:val="000745DB"/>
    <w:rsid w:val="000964D8"/>
    <w:rsid w:val="000A100F"/>
    <w:rsid w:val="000A1CAE"/>
    <w:rsid w:val="000A25DA"/>
    <w:rsid w:val="000B5E4D"/>
    <w:rsid w:val="000B68D8"/>
    <w:rsid w:val="000B7C7B"/>
    <w:rsid w:val="000C1C95"/>
    <w:rsid w:val="000C4431"/>
    <w:rsid w:val="000D0759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037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47B1D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0396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59B5"/>
    <w:rsid w:val="007F7C7E"/>
    <w:rsid w:val="00814D30"/>
    <w:rsid w:val="008259CB"/>
    <w:rsid w:val="00831650"/>
    <w:rsid w:val="008337F1"/>
    <w:rsid w:val="00842008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4A9A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CE7482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30023"/>
    <w:rsid w:val="00F32503"/>
    <w:rsid w:val="00F3495C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7C2F"/>
    <w:rsid w:val="00FF5BA7"/>
    <w:rsid w:val="39BD4622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E910-EAF0-475D-93AE-65D64E80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nhideWhenUsed="1" w:qFormat="1"/>
    <w:lsdException w:name="Body Text Indent 3" w:unhideWhenUsed="1" w:qFormat="1"/>
    <w:lsdException w:name="Block Text" w:semiHidden="1" w:uiPriority="0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semiHidden/>
    <w:unhideWhenUsed/>
    <w:qFormat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a"/>
    <w:unhideWhenUsed/>
    <w:qFormat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a5"/>
    <w:qFormat/>
    <w:pPr>
      <w:widowControl/>
      <w:snapToGrid/>
      <w:spacing w:after="120"/>
      <w:ind w:firstLine="210"/>
    </w:pPr>
    <w:rPr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qFormat/>
    <w:pPr>
      <w:spacing w:after="120"/>
      <w:ind w:left="283"/>
    </w:p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0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link w:val="a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Подзаголовок Знак"/>
    <w:basedOn w:val="DefaultParagraphFont"/>
    <w:link w:val="Subtitle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Верхний колонтитул Знак"/>
    <w:basedOn w:val="DefaultParagraphFont"/>
    <w:link w:val="Header"/>
    <w:uiPriority w:val="99"/>
    <w:qFormat/>
  </w:style>
  <w:style w:type="character" w:customStyle="1" w:styleId="a2">
    <w:name w:val="Нижний колонтитул Знак"/>
    <w:basedOn w:val="DefaultParagraphFont"/>
    <w:link w:val="Footer"/>
    <w:uiPriority w:val="99"/>
    <w:qFormat/>
  </w:style>
  <w:style w:type="character" w:customStyle="1" w:styleId="a3">
    <w:name w:val="Основной текст с отступом Знак"/>
    <w:basedOn w:val="DefaultParagraphFont"/>
    <w:link w:val="BodyTextIndent"/>
    <w:uiPriority w:val="99"/>
    <w:qFormat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Красная строка Знак"/>
    <w:basedOn w:val="a"/>
    <w:link w:val="BodyTextFirstIndent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qFormat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qFormat/>
    <w:rPr>
      <w:color w:val="106BBE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qFormat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qFormat/>
    <w:rPr>
      <w:rFonts w:ascii="Times New Roman" w:hAnsi="Times New Roman" w:cs="Times New Roman"/>
      <w:bCs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qFormat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qFormat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8379-F241-4643-80EA-78274415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